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pacing w:before="60"/>
        <w:jc w:val="right"/>
        <w:rPr>
          <w:sz w:val="28"/>
          <w:szCs w:val="28"/>
        </w:rPr>
      </w:pPr>
    </w:p>
    <w:p>
      <w:pPr>
        <w:pStyle w:val="Normal.0"/>
        <w:spacing w:before="60"/>
        <w:rPr>
          <w:b w:val="1"/>
          <w:bCs w:val="1"/>
          <w:sz w:val="28"/>
          <w:szCs w:val="28"/>
        </w:rPr>
      </w:pPr>
      <w:r>
        <w:rPr>
          <w:rFonts w:ascii="Calibri" w:hAnsi="Calibri"/>
          <w:b w:val="1"/>
          <w:bCs w:val="1"/>
          <w:sz w:val="22"/>
          <w:szCs w:val="22"/>
        </w:rPr>
        <w:drawing xmlns:a="http://schemas.openxmlformats.org/drawingml/2006/main">
          <wp:inline distT="0" distB="0" distL="0" distR="0">
            <wp:extent cx="3304380" cy="1286511"/>
            <wp:effectExtent l="0" t="0" r="0" b="0"/>
            <wp:docPr id="1073741825" name="officeArt object" descr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Рисунок 1" descr="Рисунок 1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4380" cy="128651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Normal.0"/>
        <w:spacing w:before="175" w:line="182" w:lineRule="auto"/>
        <w:rPr>
          <w:b w:val="1"/>
          <w:bCs w:val="1"/>
          <w:outline w:val="0"/>
          <w:color w:val="ffffff"/>
          <w:sz w:val="28"/>
          <w:szCs w:val="28"/>
          <w:u w:color="ffffff"/>
          <w14:textFill>
            <w14:solidFill>
              <w14:srgbClr w14:val="FFFFFF"/>
            </w14:solidFill>
          </w14:textFill>
        </w:rPr>
      </w:pPr>
    </w:p>
    <w:p>
      <w:pPr>
        <w:pStyle w:val="Normal.0"/>
        <w:tabs>
          <w:tab w:val="left" w:pos="6510"/>
        </w:tabs>
        <w:spacing w:before="175" w:line="182" w:lineRule="auto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</w:rPr>
        <w:tab/>
      </w:r>
    </w:p>
    <w:p>
      <w:pPr>
        <w:pStyle w:val="Normal.0"/>
        <w:spacing w:before="175" w:line="182" w:lineRule="auto"/>
        <w:jc w:val="center"/>
        <w:rPr>
          <w:b w:val="1"/>
          <w:bCs w:val="1"/>
          <w:sz w:val="28"/>
          <w:szCs w:val="28"/>
        </w:rPr>
      </w:pPr>
    </w:p>
    <w:p>
      <w:pPr>
        <w:pStyle w:val="Normal.0"/>
        <w:spacing w:before="175" w:line="182" w:lineRule="auto"/>
        <w:jc w:val="center"/>
        <w:rPr>
          <w:b w:val="1"/>
          <w:bCs w:val="1"/>
          <w:sz w:val="28"/>
          <w:szCs w:val="28"/>
        </w:rPr>
      </w:pPr>
    </w:p>
    <w:p>
      <w:pPr>
        <w:pStyle w:val="Normal.0"/>
        <w:spacing w:before="175" w:line="182" w:lineRule="auto"/>
        <w:jc w:val="center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ru-RU"/>
        </w:rPr>
        <w:t xml:space="preserve">РУКОВОДСТВО </w:t>
      </w:r>
    </w:p>
    <w:p>
      <w:pPr>
        <w:pStyle w:val="Normal.0"/>
        <w:spacing w:before="175" w:line="182" w:lineRule="auto"/>
        <w:jc w:val="center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ru-RU"/>
        </w:rPr>
        <w:t>по судейству профессиональной практики</w:t>
      </w:r>
    </w:p>
    <w:p>
      <w:pPr>
        <w:pStyle w:val="Normal.0"/>
        <w:spacing w:before="175" w:line="182" w:lineRule="auto"/>
        <w:jc w:val="center"/>
        <w:rPr>
          <w:b w:val="1"/>
          <w:bCs w:val="1"/>
          <w:sz w:val="28"/>
          <w:szCs w:val="28"/>
        </w:rPr>
      </w:pPr>
    </w:p>
    <w:p>
      <w:pPr>
        <w:pStyle w:val="Normal.0"/>
        <w:spacing w:before="175" w:line="182" w:lineRule="auto"/>
        <w:jc w:val="center"/>
        <w:rPr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ru-RU"/>
        </w:rPr>
        <w:t xml:space="preserve">компетенции </w:t>
      </w:r>
      <w:r>
        <w:rPr>
          <w:b w:val="1"/>
          <w:bCs w:val="1"/>
          <w:sz w:val="28"/>
          <w:szCs w:val="28"/>
          <w:u w:val="single"/>
          <w:rtl w:val="0"/>
          <w:lang w:val="ru-RU"/>
        </w:rPr>
        <w:t>«</w:t>
      </w:r>
      <w:r>
        <w:rPr>
          <w:b w:val="1"/>
          <w:bCs w:val="1"/>
          <w:sz w:val="28"/>
          <w:szCs w:val="28"/>
          <w:u w:val="single"/>
          <w:rtl w:val="0"/>
          <w:lang w:val="ru-RU"/>
        </w:rPr>
        <w:t>Оператор</w:t>
      </w:r>
      <w:r>
        <w:rPr>
          <w:b w:val="1"/>
          <w:bCs w:val="1"/>
          <w:sz w:val="28"/>
          <w:szCs w:val="28"/>
          <w:u w:val="single"/>
          <w:rtl w:val="0"/>
          <w:lang w:val="ru-RU"/>
        </w:rPr>
        <w:t>-</w:t>
      </w:r>
      <w:r>
        <w:rPr>
          <w:b w:val="1"/>
          <w:bCs w:val="1"/>
          <w:sz w:val="28"/>
          <w:szCs w:val="28"/>
          <w:u w:val="single"/>
          <w:rtl w:val="0"/>
          <w:lang w:val="ru-RU"/>
        </w:rPr>
        <w:t xml:space="preserve">техник складских роботов </w:t>
      </w:r>
      <w:r>
        <w:rPr>
          <w:b w:val="1"/>
          <w:bCs w:val="1"/>
          <w:sz w:val="28"/>
          <w:szCs w:val="28"/>
          <w:u w:val="single"/>
          <w:rtl w:val="0"/>
          <w:lang w:val="ru-RU"/>
        </w:rPr>
        <w:t>(</w:t>
      </w:r>
      <w:r>
        <w:rPr>
          <w:b w:val="1"/>
          <w:bCs w:val="1"/>
          <w:sz w:val="28"/>
          <w:szCs w:val="28"/>
          <w:u w:val="single"/>
          <w:rtl w:val="0"/>
          <w:lang w:val="en-US"/>
        </w:rPr>
        <w:t>AGV/AMR)</w:t>
      </w:r>
      <w:r>
        <w:rPr>
          <w:b w:val="1"/>
          <w:bCs w:val="1"/>
          <w:sz w:val="28"/>
          <w:szCs w:val="28"/>
          <w:u w:val="single"/>
          <w:rtl w:val="0"/>
          <w:lang w:val="ru-RU"/>
        </w:rPr>
        <w:t>»</w:t>
      </w:r>
    </w:p>
    <w:p>
      <w:pPr>
        <w:pStyle w:val="Normal.0"/>
        <w:rPr>
          <w:sz w:val="28"/>
          <w:szCs w:val="28"/>
        </w:rPr>
      </w:pPr>
    </w:p>
    <w:p>
      <w:pPr>
        <w:pStyle w:val="Normal.0"/>
        <w:rPr>
          <w:sz w:val="28"/>
          <w:szCs w:val="28"/>
        </w:rPr>
      </w:pPr>
    </w:p>
    <w:p>
      <w:pPr>
        <w:pStyle w:val="Normal.0"/>
        <w:rPr>
          <w:sz w:val="28"/>
          <w:szCs w:val="28"/>
        </w:rPr>
      </w:pPr>
    </w:p>
    <w:p>
      <w:pPr>
        <w:pStyle w:val="Normal.0"/>
        <w:rPr>
          <w:sz w:val="28"/>
          <w:szCs w:val="28"/>
        </w:rPr>
      </w:pPr>
    </w:p>
    <w:p>
      <w:pPr>
        <w:pStyle w:val="Normal.0"/>
        <w:rPr>
          <w:sz w:val="28"/>
          <w:szCs w:val="28"/>
        </w:rPr>
      </w:pPr>
    </w:p>
    <w:p>
      <w:pPr>
        <w:pStyle w:val="Normal.0"/>
        <w:rPr>
          <w:sz w:val="28"/>
          <w:szCs w:val="28"/>
        </w:rPr>
      </w:pPr>
    </w:p>
    <w:p>
      <w:pPr>
        <w:pStyle w:val="Normal.0"/>
        <w:rPr>
          <w:sz w:val="28"/>
          <w:szCs w:val="28"/>
        </w:rPr>
      </w:pPr>
    </w:p>
    <w:p>
      <w:pPr>
        <w:pStyle w:val="Normal.0"/>
        <w:rPr>
          <w:sz w:val="28"/>
          <w:szCs w:val="28"/>
        </w:rPr>
      </w:pPr>
    </w:p>
    <w:p>
      <w:pPr>
        <w:pStyle w:val="Normal.0"/>
        <w:rPr>
          <w:sz w:val="28"/>
          <w:szCs w:val="28"/>
        </w:rPr>
      </w:pPr>
    </w:p>
    <w:p>
      <w:pPr>
        <w:pStyle w:val="Normal.0"/>
        <w:rPr>
          <w:sz w:val="28"/>
          <w:szCs w:val="28"/>
        </w:rPr>
      </w:pPr>
    </w:p>
    <w:p>
      <w:pPr>
        <w:pStyle w:val="Normal.0"/>
        <w:rPr>
          <w:sz w:val="28"/>
          <w:szCs w:val="28"/>
        </w:rPr>
      </w:pPr>
    </w:p>
    <w:p>
      <w:pPr>
        <w:pStyle w:val="Normal.0"/>
        <w:rPr>
          <w:sz w:val="28"/>
          <w:szCs w:val="28"/>
        </w:rPr>
      </w:pPr>
    </w:p>
    <w:p>
      <w:pPr>
        <w:pStyle w:val="Normal.0"/>
        <w:rPr>
          <w:sz w:val="28"/>
          <w:szCs w:val="28"/>
        </w:rPr>
      </w:pPr>
    </w:p>
    <w:p>
      <w:pPr>
        <w:pStyle w:val="Normal.0"/>
        <w:rPr>
          <w:sz w:val="28"/>
          <w:szCs w:val="28"/>
        </w:rPr>
      </w:pPr>
    </w:p>
    <w:p>
      <w:pPr>
        <w:pStyle w:val="Normal.0"/>
        <w:rPr>
          <w:sz w:val="28"/>
          <w:szCs w:val="28"/>
        </w:rPr>
      </w:pPr>
    </w:p>
    <w:p>
      <w:pPr>
        <w:pStyle w:val="Normal.0"/>
        <w:rPr>
          <w:sz w:val="28"/>
          <w:szCs w:val="28"/>
        </w:rPr>
      </w:pPr>
    </w:p>
    <w:p>
      <w:pPr>
        <w:pStyle w:val="Normal.0"/>
        <w:rPr>
          <w:sz w:val="28"/>
          <w:szCs w:val="28"/>
        </w:rPr>
      </w:pPr>
    </w:p>
    <w:p>
      <w:pPr>
        <w:pStyle w:val="Normal.0"/>
        <w:rPr>
          <w:sz w:val="28"/>
          <w:szCs w:val="28"/>
        </w:rPr>
      </w:pPr>
    </w:p>
    <w:p>
      <w:pPr>
        <w:pStyle w:val="Normal.0"/>
        <w:rPr>
          <w:sz w:val="28"/>
          <w:szCs w:val="28"/>
        </w:rPr>
      </w:pPr>
    </w:p>
    <w:p>
      <w:pPr>
        <w:pStyle w:val="Normal.0"/>
        <w:rPr>
          <w:sz w:val="28"/>
          <w:szCs w:val="28"/>
        </w:rPr>
      </w:pPr>
    </w:p>
    <w:p>
      <w:pPr>
        <w:pStyle w:val="Normal.0"/>
        <w:rPr>
          <w:sz w:val="28"/>
          <w:szCs w:val="28"/>
        </w:rPr>
      </w:pPr>
    </w:p>
    <w:p>
      <w:pPr>
        <w:pStyle w:val="Normal.0"/>
        <w:rPr>
          <w:sz w:val="28"/>
          <w:szCs w:val="28"/>
        </w:rPr>
      </w:pPr>
    </w:p>
    <w:p>
      <w:pPr>
        <w:pStyle w:val="Normal.0"/>
        <w:rPr>
          <w:sz w:val="28"/>
          <w:szCs w:val="28"/>
        </w:rPr>
      </w:pPr>
    </w:p>
    <w:p>
      <w:pPr>
        <w:pStyle w:val="Normal.0"/>
        <w:rPr>
          <w:sz w:val="28"/>
          <w:szCs w:val="28"/>
        </w:rPr>
      </w:pPr>
    </w:p>
    <w:p>
      <w:pPr>
        <w:pStyle w:val="Normal.0"/>
        <w:rPr>
          <w:sz w:val="28"/>
          <w:szCs w:val="28"/>
        </w:rPr>
      </w:pPr>
    </w:p>
    <w:p>
      <w:pPr>
        <w:pStyle w:val="Normal.0"/>
        <w:ind w:firstLine="709"/>
        <w:jc w:val="center"/>
        <w:rPr>
          <w:b w:val="1"/>
          <w:bCs w:val="1"/>
        </w:rPr>
      </w:pPr>
      <w:r>
        <w:rPr>
          <w:b w:val="1"/>
          <w:bCs w:val="1"/>
          <w:rtl w:val="0"/>
          <w:lang w:val="ru-RU"/>
        </w:rPr>
        <w:t xml:space="preserve">2026 </w:t>
      </w:r>
      <w:r>
        <w:rPr>
          <w:b w:val="1"/>
          <w:bCs w:val="1"/>
          <w:rtl w:val="0"/>
          <w:lang w:val="ru-RU"/>
        </w:rPr>
        <w:t>г</w:t>
      </w:r>
      <w:r>
        <w:rPr>
          <w:b w:val="1"/>
          <w:bCs w:val="1"/>
          <w:rtl w:val="0"/>
          <w:lang w:val="ru-RU"/>
        </w:rPr>
        <w:t>.</w:t>
      </w:r>
    </w:p>
    <w:p>
      <w:pPr>
        <w:pStyle w:val="Normal.0"/>
        <w:ind w:firstLine="709"/>
        <w:jc w:val="both"/>
        <w:rPr>
          <w:b w:val="1"/>
          <w:bCs w:val="1"/>
        </w:rPr>
      </w:pPr>
    </w:p>
    <w:p>
      <w:pPr>
        <w:pStyle w:val="Normal.0"/>
        <w:ind w:firstLine="709"/>
        <w:jc w:val="both"/>
        <w:rPr>
          <w:b w:val="1"/>
          <w:bCs w:val="1"/>
        </w:rPr>
      </w:pPr>
    </w:p>
    <w:tbl>
      <w:tblPr>
        <w:tblW w:w="10037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e0e0e0"/>
        <w:tblLayout w:type="fixed"/>
      </w:tblPr>
      <w:tblGrid>
        <w:gridCol w:w="1940"/>
        <w:gridCol w:w="1620"/>
        <w:gridCol w:w="1619"/>
        <w:gridCol w:w="1619"/>
        <w:gridCol w:w="1619"/>
        <w:gridCol w:w="1620"/>
      </w:tblGrid>
      <w:tr>
        <w:tblPrEx>
          <w:shd w:val="clear" w:color="auto" w:fill="e0e0e0"/>
        </w:tblPrEx>
        <w:trPr>
          <w:trHeight w:val="401" w:hRule="atLeast"/>
        </w:trPr>
        <w:tc>
          <w:tcPr>
            <w:tcW w:type="dxa" w:w="194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5a5a5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1440"/>
              </w:tabs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0"/>
              <w:rPr>
                <w:rtl w:val="0"/>
              </w:rPr>
            </w:pPr>
            <w:r>
              <w:rPr>
                <w:rFonts w:ascii="Calibri" w:cs="Arial Unicode MS" w:hAnsi="Calibri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36"/>
                <w:szCs w:val="36"/>
                <w:u w:val="none"/>
                <w:shd w:val="nil" w:color="auto" w:fill="auto"/>
                <w:vertAlign w:val="baseline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Модуль А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</w:tr>
      <w:tr>
        <w:tblPrEx>
          <w:shd w:val="clear" w:color="auto" w:fill="e0e0e0"/>
        </w:tblPrEx>
        <w:trPr>
          <w:trHeight w:val="2411" w:hRule="atLeast"/>
        </w:trPr>
        <w:tc>
          <w:tcPr>
            <w:tcW w:type="dxa" w:w="194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5a5a5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По умолчанию"/>
              <w:tabs>
                <w:tab w:val="left" w:pos="720"/>
                <w:tab w:val="left" w:pos="1440"/>
              </w:tabs>
              <w:spacing w:before="0" w:line="240" w:lineRule="auto"/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Найдены все существующие дефекты данного электронного компонента в соответствии с таблицей оценки</w:t>
            </w:r>
          </w:p>
          <w:p>
            <w:pPr>
              <w:pStyle w:val="По умолчанию"/>
              <w:tabs>
                <w:tab w:val="left" w:pos="720"/>
                <w:tab w:val="left" w:pos="1440"/>
              </w:tabs>
              <w:spacing w:before="0" w:line="240" w:lineRule="auto"/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По умолчанию"/>
              <w:tabs>
                <w:tab w:val="left" w:pos="720"/>
                <w:tab w:val="left" w:pos="1440"/>
              </w:tabs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2"/>
                <w:szCs w:val="22"/>
              </w:rPr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Найдены все неисправности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 xml:space="preserve">известные группе оценки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>(100%)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2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балла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 xml:space="preserve">Найдено не более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50%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 xml:space="preserve">неисправностей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(&lt;=50%),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 xml:space="preserve">известных группе оценки 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  <w:lang w:val="ru-RU"/>
              </w:rPr>
              <w:t xml:space="preserve">1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>Не найдено ни одного дефекта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 xml:space="preserve">известного группе оценки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>(0%)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0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баллов</w:t>
            </w:r>
          </w:p>
        </w:tc>
      </w:tr>
      <w:tr>
        <w:tblPrEx>
          <w:shd w:val="clear" w:color="auto" w:fill="e0e0e0"/>
        </w:tblPrEx>
        <w:trPr>
          <w:trHeight w:val="3851" w:hRule="atLeast"/>
        </w:trPr>
        <w:tc>
          <w:tcPr>
            <w:tcW w:type="dxa" w:w="194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5a5a5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По умолчанию"/>
              <w:tabs>
                <w:tab w:val="left" w:pos="720"/>
                <w:tab w:val="left" w:pos="1440"/>
              </w:tabs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trike w:val="0"/>
                <w:dstrike w:val="0"/>
                <w:outline w:val="0"/>
                <w:color w:val="000000"/>
                <w:sz w:val="22"/>
                <w:szCs w:val="22"/>
                <w:u w:val="none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Организация рабочего времени при выполнении задания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Самостоятельность в выполнении задач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дисциплинированность и способность поддерживать высокий уровень продуктивности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2"/>
                <w:szCs w:val="22"/>
              </w:rPr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  <w:lang w:val="ru-RU"/>
              </w:rPr>
              <w:t xml:space="preserve">1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cs="Times New Roman" w:hAnsi="Times New Roman" w:eastAsia="Times New Roman"/>
                <w:sz w:val="22"/>
                <w:szCs w:val="22"/>
              </w:rPr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Выполнение задач в установленные сроки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но с незначительными задержками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0,66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баллов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Неумение четко спланировать задачи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ошибки в оценке временных затрат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0,33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балла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Неадекватное распределение времени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: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чрезмерное затягивание работы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>поспешность без учета качества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0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баллов</w:t>
            </w:r>
          </w:p>
        </w:tc>
      </w:tr>
      <w:tr>
        <w:tblPrEx>
          <w:shd w:val="clear" w:color="auto" w:fill="e0e0e0"/>
        </w:tblPrEx>
        <w:trPr>
          <w:trHeight w:val="452" w:hRule="atLeast"/>
        </w:trPr>
        <w:tc>
          <w:tcPr>
            <w:tcW w:type="dxa" w:w="194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24" w:space="0" w:shadow="0" w:frame="0"/>
              <w:right w:val="single" w:color="ffffff" w:sz="8" w:space="0" w:shadow="0" w:frame="0"/>
            </w:tcBorders>
            <w:shd w:val="clear" w:color="auto" w:fill="a5a5a5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1440"/>
              </w:tabs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0"/>
              <w:rPr>
                <w:rtl w:val="0"/>
              </w:rPr>
            </w:pPr>
            <w:r>
              <w:rPr>
                <w:rFonts w:ascii="Calibri" w:cs="Arial Unicode MS" w:hAnsi="Calibri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36"/>
                <w:szCs w:val="36"/>
                <w:u w:val="none"/>
                <w:shd w:val="nil" w:color="auto" w:fill="auto"/>
                <w:vertAlign w:val="baseline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Модуль Б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</w:tr>
      <w:tr>
        <w:tblPrEx>
          <w:shd w:val="clear" w:color="auto" w:fill="e0e0e0"/>
        </w:tblPrEx>
        <w:trPr>
          <w:trHeight w:val="3229" w:hRule="atLeast"/>
        </w:trPr>
        <w:tc>
          <w:tcPr>
            <w:tcW w:type="dxa" w:w="1940"/>
            <w:tcBorders>
              <w:top w:val="single" w:color="ffffff" w:sz="24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5a5a5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>Алгоритм управления роботом сигнализирует о старте и завершении перемещения в целевую и стартовую точки в терминал и в файл логирования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Сигнализирует о достижении целевой и стартовой точек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  <w:lang w:val="ru-RU"/>
              </w:rPr>
              <w:t xml:space="preserve">1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Сигнализирует о достижении одной из точек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  <w:lang w:val="ru-RU"/>
              </w:rPr>
              <w:t xml:space="preserve">0,5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балла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Нет вывода при достижении ни одной из точек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0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баллов</w:t>
            </w:r>
          </w:p>
        </w:tc>
      </w:tr>
      <w:tr>
        <w:tblPrEx>
          <w:shd w:val="clear" w:color="auto" w:fill="e0e0e0"/>
        </w:tblPrEx>
        <w:trPr>
          <w:trHeight w:val="2897" w:hRule="atLeast"/>
        </w:trPr>
        <w:tc>
          <w:tcPr>
            <w:tcW w:type="dxa" w:w="194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5a5a5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>Время выполнения роботом РМК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-2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>задач по перемещению между точкми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: 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 xml:space="preserve">стартовая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-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 xml:space="preserve">целевая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-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 xml:space="preserve">стартовая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>(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>без учета паузы между запусками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>)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 xml:space="preserve">Время выполнения до 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ru-RU"/>
              </w:rPr>
              <w:t xml:space="preserve">1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 xml:space="preserve">минут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>(&lt;= 60c)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2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балла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 xml:space="preserve">Время выполнения до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1.5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 xml:space="preserve">минут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>(&lt;= 90c)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1,5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балла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 xml:space="preserve">Время выполнения до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2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 xml:space="preserve">минут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>(&lt;= 120c)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1,0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 xml:space="preserve">Время выполнения до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2.5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 xml:space="preserve">минут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>(&lt;= 150c)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  <w:lang w:val="ru-RU"/>
              </w:rPr>
              <w:t xml:space="preserve">0,5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балла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 xml:space="preserve">Время выполнения более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2.5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 xml:space="preserve">минут 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>(&gt; 150c)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0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баллов</w:t>
            </w:r>
          </w:p>
        </w:tc>
      </w:tr>
      <w:tr>
        <w:tblPrEx>
          <w:shd w:val="clear" w:color="auto" w:fill="e0e0e0"/>
        </w:tblPrEx>
        <w:trPr>
          <w:trHeight w:val="445" w:hRule="atLeast"/>
        </w:trPr>
        <w:tc>
          <w:tcPr>
            <w:tcW w:type="dxa" w:w="194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24" w:space="0" w:shadow="0" w:frame="0"/>
              <w:right w:val="single" w:color="ffffff" w:sz="8" w:space="0" w:shadow="0" w:frame="0"/>
            </w:tcBorders>
            <w:shd w:val="clear" w:color="auto" w:fill="a5a5a5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1440"/>
              </w:tabs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0"/>
              <w:rPr>
                <w:rtl w:val="0"/>
              </w:rPr>
            </w:pPr>
            <w:r>
              <w:rPr>
                <w:rFonts w:ascii="Calibri" w:cs="Arial Unicode MS" w:hAnsi="Calibri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36"/>
                <w:szCs w:val="36"/>
                <w:u w:val="none"/>
                <w:shd w:val="nil" w:color="auto" w:fill="auto"/>
                <w:vertAlign w:val="baseline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Модуль В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</w:tr>
      <w:tr>
        <w:tblPrEx>
          <w:shd w:val="clear" w:color="auto" w:fill="e0e0e0"/>
        </w:tblPrEx>
        <w:trPr>
          <w:trHeight w:val="2107" w:hRule="atLeast"/>
        </w:trPr>
        <w:tc>
          <w:tcPr>
            <w:tcW w:type="dxa" w:w="1940"/>
            <w:tcBorders>
              <w:top w:val="single" w:color="ffffff" w:sz="24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5a5a5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>Алгоритм участника для управления манипулятора привел манипулятор в движение и смену состояния захвата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>.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>Решение привело в движение и манипулятор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и схват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2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балла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>Решение привело в движение либо манипулятор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либо схват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  <w:lang w:val="ru-RU"/>
              </w:rPr>
              <w:t xml:space="preserve">1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>Решение не привело в движение ни манипулятор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ни схват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0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баллов</w:t>
            </w:r>
          </w:p>
        </w:tc>
      </w:tr>
      <w:tr>
        <w:tblPrEx>
          <w:shd w:val="clear" w:color="auto" w:fill="e0e0e0"/>
        </w:tblPrEx>
        <w:trPr>
          <w:trHeight w:val="3131" w:hRule="atLeast"/>
        </w:trPr>
        <w:tc>
          <w:tcPr>
            <w:tcW w:type="dxa" w:w="194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5a5a5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>Защита разработанного решения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Конкурсант понятно объяснил весь функционал и ответил на все интересующие вопросы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  <w:lang w:val="ru-RU"/>
              </w:rPr>
              <w:t xml:space="preserve">1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Конкурсант смог донести суть работы своего решения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после презентации остались небольшие вопросы к функционалу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0,66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балла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Конкурсант плохо донес суть работы своего решения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после презентации осталось много вопросов к функционалу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0,33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балла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Конкурсант ничего не рассказал про свое решение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непонятно как оно работает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0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баллов</w:t>
            </w:r>
          </w:p>
        </w:tc>
      </w:tr>
      <w:tr>
        <w:tblPrEx>
          <w:shd w:val="clear" w:color="auto" w:fill="e0e0e0"/>
        </w:tblPrEx>
        <w:trPr>
          <w:trHeight w:val="452" w:hRule="atLeast"/>
        </w:trPr>
        <w:tc>
          <w:tcPr>
            <w:tcW w:type="dxa" w:w="194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24" w:space="0" w:shadow="0" w:frame="0"/>
              <w:right w:val="single" w:color="ffffff" w:sz="8" w:space="0" w:shadow="0" w:frame="0"/>
            </w:tcBorders>
            <w:shd w:val="clear" w:color="auto" w:fill="a5a5a5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1440"/>
              </w:tabs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0"/>
              <w:rPr>
                <w:rtl w:val="0"/>
              </w:rPr>
            </w:pPr>
            <w:r>
              <w:rPr>
                <w:rFonts w:ascii="Calibri" w:cs="Arial Unicode MS" w:hAnsi="Calibri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36"/>
                <w:szCs w:val="36"/>
                <w:u w:val="none"/>
                <w:shd w:val="nil" w:color="auto" w:fill="auto"/>
                <w:vertAlign w:val="baseline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Модуль Г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</w:tr>
      <w:tr>
        <w:tblPrEx>
          <w:shd w:val="clear" w:color="auto" w:fill="e0e0e0"/>
        </w:tblPrEx>
        <w:trPr>
          <w:trHeight w:val="3151" w:hRule="atLeast"/>
        </w:trPr>
        <w:tc>
          <w:tcPr>
            <w:tcW w:type="dxa" w:w="1940"/>
            <w:tcBorders>
              <w:top w:val="single" w:color="ffffff" w:sz="24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5a5a5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>Графический интерфейс предоставляет доступ к РМК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-1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>и РМК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>-2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 xml:space="preserve">Графический интерфейс предоставляет хотя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 xml:space="preserve">бы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 xml:space="preserve">один инструмент для взаимодействия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/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визуализации данных и для РМК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-1,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и для РМК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>-2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1,0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Графический интерфейс предоставляет хотя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 xml:space="preserve"> бы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 xml:space="preserve"> один инструмент для взаимодействия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/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визуализации данных для одного РМК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  <w:lang w:val="ru-RU"/>
              </w:rPr>
              <w:t xml:space="preserve">0,5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балла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 xml:space="preserve">Графический интерфейс не предоставляет ни одного инструмента для взаимодействия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/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визуализации данных ни для одного РМК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0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баллов</w:t>
            </w:r>
          </w:p>
        </w:tc>
      </w:tr>
      <w:tr>
        <w:tblPrEx>
          <w:shd w:val="clear" w:color="auto" w:fill="e0e0e0"/>
        </w:tblPrEx>
        <w:trPr>
          <w:trHeight w:val="2891" w:hRule="atLeast"/>
        </w:trPr>
        <w:tc>
          <w:tcPr>
            <w:tcW w:type="dxa" w:w="194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5a5a5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>Созданы инструменты для взаимодействия с рабочим инструментом конкретного РМК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Инструмент позволяет эксперту поменять состояние рабочего инструмента и на РМК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-1,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и на РМК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>-2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2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балла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Инструмент позволяет эксперту поменять состояние рабочего инструмента либо на РМК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-1,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либо на РМК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>-2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  <w:lang w:val="ru-RU"/>
              </w:rPr>
              <w:t xml:space="preserve">1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Инструмент не позволяет поменять состояние ни одного рабочего инструмента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0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баллов</w:t>
            </w:r>
          </w:p>
        </w:tc>
      </w:tr>
      <w:tr>
        <w:tblPrEx>
          <w:shd w:val="clear" w:color="auto" w:fill="e0e0e0"/>
        </w:tblPrEx>
        <w:trPr>
          <w:trHeight w:val="3371" w:hRule="atLeast"/>
        </w:trPr>
        <w:tc>
          <w:tcPr>
            <w:tcW w:type="dxa" w:w="194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5a5a5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>Защита разработанного решения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Конкурсант понятно объяснил весь функционал и ответил на все интересующие вопросы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1,0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Конкурсант смог донести суть работы своего решения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после презентации остались небольшие вопросы к функционалу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0,66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балла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Конкурсант плохо донес суть работы своего решения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после презентации осталось много вопросов к функционалу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0,33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балла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Конкурсант ничего не рассказал про свое решение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непонятно как оно работает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0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баллов</w:t>
            </w:r>
          </w:p>
        </w:tc>
      </w:tr>
      <w:tr>
        <w:tblPrEx>
          <w:shd w:val="clear" w:color="auto" w:fill="e0e0e0"/>
        </w:tblPrEx>
        <w:trPr>
          <w:trHeight w:val="452" w:hRule="atLeast"/>
        </w:trPr>
        <w:tc>
          <w:tcPr>
            <w:tcW w:type="dxa" w:w="194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24" w:space="0" w:shadow="0" w:frame="0"/>
              <w:right w:val="single" w:color="ffffff" w:sz="8" w:space="0" w:shadow="0" w:frame="0"/>
            </w:tcBorders>
            <w:shd w:val="clear" w:color="auto" w:fill="a5a5a5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1440"/>
              </w:tabs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0"/>
              <w:rPr>
                <w:rtl w:val="0"/>
              </w:rPr>
            </w:pPr>
            <w:r>
              <w:rPr>
                <w:rFonts w:ascii="Calibri" w:cs="Arial Unicode MS" w:hAnsi="Calibri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36"/>
                <w:szCs w:val="36"/>
                <w:u w:val="none"/>
                <w:shd w:val="nil" w:color="auto" w:fill="auto"/>
                <w:vertAlign w:val="baseline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Модуль Д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</w:tr>
      <w:tr>
        <w:tblPrEx>
          <w:shd w:val="clear" w:color="auto" w:fill="e0e0e0"/>
        </w:tblPrEx>
        <w:trPr>
          <w:trHeight w:val="1711" w:hRule="atLeast"/>
        </w:trPr>
        <w:tc>
          <w:tcPr>
            <w:tcW w:type="dxa" w:w="1940"/>
            <w:tcBorders>
              <w:top w:val="single" w:color="ffffff" w:sz="24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5a5a5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>Время выполнения РМК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-1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>и РМК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-2 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 xml:space="preserve">Время выполнения до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3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 xml:space="preserve">минут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>(&lt;= 180c)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2,0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балла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 xml:space="preserve">Время выполнения до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3.5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 xml:space="preserve">минут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>(&lt;= 210c)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1,5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балла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 xml:space="preserve">Время выполнения до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4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 xml:space="preserve">минут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>(&lt;= 240c)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1,0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 xml:space="preserve">Время выполнения до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4.5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 xml:space="preserve">минут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>(&lt;= 270c)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  <w:lang w:val="ru-RU"/>
              </w:rPr>
              <w:t xml:space="preserve">0,5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балла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 xml:space="preserve">Время выполнения более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4.5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 xml:space="preserve">минут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>(&gt; 270c)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0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баллов</w:t>
            </w:r>
          </w:p>
        </w:tc>
      </w:tr>
      <w:tr>
        <w:tblPrEx>
          <w:shd w:val="clear" w:color="auto" w:fill="e0e0e0"/>
        </w:tblPrEx>
        <w:trPr>
          <w:trHeight w:val="3851" w:hRule="atLeast"/>
        </w:trPr>
        <w:tc>
          <w:tcPr>
            <w:tcW w:type="dxa" w:w="194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5a5a5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>Количество запускаемых скриптов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 xml:space="preserve">Использован 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ru-RU"/>
              </w:rPr>
              <w:t xml:space="preserve">1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>скрипт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1,5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балла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 xml:space="preserve">Использовано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2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>скрипта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1,0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 xml:space="preserve">Использовано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3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>скрипта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  <w:lang w:val="ru-RU"/>
              </w:rPr>
              <w:t xml:space="preserve">0,5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балла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 xml:space="preserve">Использовано 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4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>скрипта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0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баллов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f0f0f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</w:rPr>
              <w:t xml:space="preserve">Использовано больше </w:t>
            </w: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4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</w:rPr>
              <w:t>скриптов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</w:rPr>
              <w:t xml:space="preserve">В случае использования больше чем </w:t>
            </w: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4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</w:rPr>
              <w:t>скрипта</w:t>
            </w: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</w:rPr>
              <w:t>попытка не засчитывается</w:t>
            </w: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</w:rPr>
              <w:t>баллы</w:t>
            </w: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</w:rPr>
              <w:t>набранные за эту попытку</w:t>
            </w: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</w:rPr>
              <w:t>не засчитываются</w:t>
            </w:r>
          </w:p>
        </w:tc>
      </w:tr>
      <w:tr>
        <w:tblPrEx>
          <w:shd w:val="clear" w:color="auto" w:fill="e0e0e0"/>
        </w:tblPrEx>
        <w:trPr>
          <w:trHeight w:val="3371" w:hRule="atLeast"/>
        </w:trPr>
        <w:tc>
          <w:tcPr>
            <w:tcW w:type="dxa" w:w="194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5a5a5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</w:rPr>
              <w:t>Защита разработанного решения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Конкурсант понятно объяснил весь функционал и ответил на все интересующие вопросы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1,0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Конкурсант смог донести суть работы своего решения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после презентации остались небольшие вопросы к функционалу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0,66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балла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Конкурсант плохо донес суть работы своего решения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после презентации осталось много вопросов к функционалу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0,33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балла</w:t>
            </w:r>
          </w:p>
        </w:tc>
        <w:tc>
          <w:tcPr>
            <w:tcW w:type="dxa" w:w="161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Конкурсант ничего не рассказал про свое решение</w:t>
            </w:r>
            <w:r>
              <w:rPr>
                <w:rFonts w:ascii="Times New Roman" w:hAnsi="Times New Roman"/>
                <w:sz w:val="22"/>
                <w:szCs w:val="22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  <w:t>непонятно как оно работает</w:t>
            </w: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  <w:rPr>
                <w:rFonts w:ascii="Times New Roman" w:cs="Times New Roman" w:hAnsi="Times New Roman" w:eastAsia="Times New Roman"/>
                <w:sz w:val="22"/>
                <w:szCs w:val="22"/>
              </w:rPr>
            </w:pPr>
          </w:p>
          <w:p>
            <w:pPr>
              <w:pStyle w:val="Стиль таблицы 2"/>
              <w:tabs>
                <w:tab w:val="left" w:pos="720"/>
                <w:tab w:val="left" w:pos="1440"/>
              </w:tabs>
              <w:jc w:val="center"/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</w:rPr>
              <w:t xml:space="preserve">0 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rtl w:val="0"/>
                <w:lang w:val="ru-RU"/>
              </w:rPr>
              <w:t>баллов</w:t>
            </w:r>
          </w:p>
        </w:tc>
      </w:tr>
    </w:tbl>
    <w:p>
      <w:pPr>
        <w:pStyle w:val="Normal.0"/>
        <w:ind w:firstLine="709"/>
        <w:jc w:val="both"/>
      </w:pPr>
    </w:p>
    <w:sectPr>
      <w:headerReference w:type="default" r:id="rId5"/>
      <w:footerReference w:type="default" r:id="rId6"/>
      <w:pgSz w:w="11900" w:h="16840" w:orient="portrait"/>
      <w:pgMar w:top="1134" w:right="850" w:bottom="1134" w:left="993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